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36528D" w:rsidRDefault="004434E0" w:rsidP="0036528D">
      <w:pPr>
        <w:pStyle w:val="bodytex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7.45pt;margin-top:648.5pt;width:162pt;height:167.25pt;z-index:25166028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55;mso-column-margin:5.7pt" inset="2.85pt,2.85pt,2.85pt,2.85pt">
              <w:txbxContent>
                <w:p w:rsidR="0016410B" w:rsidRDefault="0016410B" w:rsidP="0016410B">
                  <w:pPr>
                    <w:pStyle w:val="Address2"/>
                  </w:pPr>
                  <w:r>
                    <w:t>Contact:</w:t>
                  </w:r>
                </w:p>
                <w:p w:rsidR="0016410B" w:rsidRPr="0016410B" w:rsidRDefault="0016410B" w:rsidP="0016410B">
                  <w:pPr>
                    <w:rPr>
                      <w:sz w:val="16"/>
                    </w:rPr>
                  </w:pPr>
                  <w:r w:rsidRPr="0016410B">
                    <w:rPr>
                      <w:sz w:val="16"/>
                    </w:rPr>
                    <w:t>Rebecca Ismail</w:t>
                  </w:r>
                </w:p>
                <w:p w:rsidR="0016410B" w:rsidRPr="0016410B" w:rsidRDefault="0016410B" w:rsidP="0016410B">
                  <w:pPr>
                    <w:rPr>
                      <w:sz w:val="16"/>
                    </w:rPr>
                  </w:pPr>
                  <w:r w:rsidRPr="0016410B">
                    <w:rPr>
                      <w:sz w:val="16"/>
                    </w:rPr>
                    <w:t>Manager, Maternal/Child</w:t>
                  </w:r>
                </w:p>
                <w:p w:rsidR="001669AB" w:rsidRPr="0016410B" w:rsidRDefault="0016410B" w:rsidP="00080C01">
                  <w:pPr>
                    <w:pStyle w:val="Address2"/>
                    <w:rPr>
                      <w:sz w:val="14"/>
                    </w:rPr>
                  </w:pPr>
                  <w:proofErr w:type="spellStart"/>
                  <w:r w:rsidRPr="00080C01">
                    <w:rPr>
                      <w:sz w:val="12"/>
                    </w:rPr>
                    <w:t>Leamington</w:t>
                  </w:r>
                  <w:proofErr w:type="spellEnd"/>
                  <w:r w:rsidRPr="0016410B">
                    <w:rPr>
                      <w:sz w:val="14"/>
                    </w:rPr>
                    <w:t xml:space="preserve"> District Memorial </w:t>
                  </w:r>
                  <w:r w:rsidRPr="00080C01">
                    <w:rPr>
                      <w:sz w:val="12"/>
                    </w:rPr>
                    <w:t>Hospital</w:t>
                  </w:r>
                </w:p>
                <w:p w:rsidR="008A0FB1" w:rsidRPr="0016410B" w:rsidRDefault="0016410B" w:rsidP="0016410B">
                  <w:pPr>
                    <w:rPr>
                      <w:sz w:val="16"/>
                    </w:rPr>
                  </w:pPr>
                  <w:r w:rsidRPr="0016410B">
                    <w:rPr>
                      <w:sz w:val="16"/>
                    </w:rPr>
                    <w:t>194 Talbot St. West</w:t>
                  </w:r>
                </w:p>
                <w:p w:rsidR="008A0FB1" w:rsidRPr="0016410B" w:rsidRDefault="0016410B" w:rsidP="0016410B">
                  <w:pPr>
                    <w:rPr>
                      <w:sz w:val="16"/>
                    </w:rPr>
                  </w:pPr>
                  <w:proofErr w:type="spellStart"/>
                  <w:r w:rsidRPr="0016410B">
                    <w:rPr>
                      <w:sz w:val="16"/>
                    </w:rPr>
                    <w:t>Leamington</w:t>
                  </w:r>
                  <w:proofErr w:type="spellEnd"/>
                  <w:r w:rsidR="008A0FB1" w:rsidRPr="0016410B">
                    <w:rPr>
                      <w:sz w:val="16"/>
                    </w:rPr>
                    <w:t xml:space="preserve">, </w:t>
                  </w:r>
                  <w:proofErr w:type="gramStart"/>
                  <w:r w:rsidRPr="0016410B">
                    <w:rPr>
                      <w:sz w:val="16"/>
                    </w:rPr>
                    <w:t>ON</w:t>
                  </w:r>
                  <w:r w:rsidR="008A0FB1" w:rsidRPr="0016410B">
                    <w:rPr>
                      <w:sz w:val="16"/>
                    </w:rPr>
                    <w:t xml:space="preserve">  </w:t>
                  </w:r>
                  <w:r w:rsidRPr="0016410B">
                    <w:rPr>
                      <w:sz w:val="16"/>
                    </w:rPr>
                    <w:t>N8H</w:t>
                  </w:r>
                  <w:proofErr w:type="gramEnd"/>
                  <w:r w:rsidRPr="0016410B">
                    <w:rPr>
                      <w:sz w:val="16"/>
                    </w:rPr>
                    <w:t xml:space="preserve"> 1A9</w:t>
                  </w:r>
                </w:p>
                <w:p w:rsidR="006A6AAE" w:rsidRDefault="006A6AAE" w:rsidP="00080C01">
                  <w:pPr>
                    <w:pStyle w:val="Address2"/>
                    <w:rPr>
                      <w:sz w:val="12"/>
                    </w:rPr>
                  </w:pPr>
                </w:p>
                <w:p w:rsidR="008A0FB1" w:rsidRDefault="008A0FB1" w:rsidP="00080C01">
                  <w:pPr>
                    <w:pStyle w:val="Address2"/>
                  </w:pPr>
                  <w:r w:rsidRPr="00080C01">
                    <w:rPr>
                      <w:sz w:val="12"/>
                    </w:rPr>
                    <w:t>Phone</w:t>
                  </w:r>
                  <w:r w:rsidRPr="008A0FB1">
                    <w:rPr>
                      <w:rStyle w:val="Address2Char"/>
                    </w:rPr>
                    <w:t xml:space="preserve">:  </w:t>
                  </w:r>
                  <w:r w:rsidR="0016410B" w:rsidRPr="0016410B">
                    <w:rPr>
                      <w:rFonts w:ascii="Times New Roman" w:hAnsi="Times New Roman"/>
                      <w:bCs w:val="0"/>
                      <w:color w:val="000000"/>
                      <w:spacing w:val="0"/>
                      <w:sz w:val="16"/>
                      <w:szCs w:val="20"/>
                      <w:lang w:val="en-US"/>
                    </w:rPr>
                    <w:t>519-326-2373</w:t>
                  </w:r>
                </w:p>
                <w:p w:rsidR="0016410B" w:rsidRDefault="008A0FB1" w:rsidP="0016410B">
                  <w:r w:rsidRPr="00080C01">
                    <w:rPr>
                      <w:rFonts w:ascii="Arial" w:hAnsi="Arial"/>
                      <w:b/>
                      <w:bCs/>
                      <w:color w:val="auto"/>
                      <w:spacing w:val="20"/>
                      <w:sz w:val="12"/>
                      <w:szCs w:val="18"/>
                      <w:lang w:val="en"/>
                    </w:rPr>
                    <w:t>E-mail</w:t>
                  </w:r>
                  <w:r w:rsidRPr="008A0FB1">
                    <w:rPr>
                      <w:rStyle w:val="Address2Char"/>
                    </w:rPr>
                    <w:t>:</w:t>
                  </w:r>
                  <w:r>
                    <w:t xml:space="preserve">  </w:t>
                  </w:r>
                  <w:hyperlink r:id="rId7" w:history="1">
                    <w:r w:rsidR="0016410B" w:rsidRPr="0016410B">
                      <w:rPr>
                        <w:sz w:val="16"/>
                      </w:rPr>
                      <w:t>Rebecca.ismail@ldmh.org</w:t>
                    </w:r>
                  </w:hyperlink>
                </w:p>
                <w:p w:rsidR="0016410B" w:rsidRDefault="0016410B" w:rsidP="0016410B">
                  <w:r w:rsidRPr="00080C01">
                    <w:rPr>
                      <w:rFonts w:ascii="Arial" w:hAnsi="Arial"/>
                      <w:b/>
                      <w:bCs/>
                      <w:color w:val="auto"/>
                      <w:spacing w:val="20"/>
                      <w:sz w:val="12"/>
                      <w:szCs w:val="18"/>
                      <w:lang w:val="en"/>
                    </w:rPr>
                    <w:t>Phone</w:t>
                  </w:r>
                  <w:r>
                    <w:t xml:space="preserve">: </w:t>
                  </w:r>
                  <w:r w:rsidRPr="0016410B">
                    <w:rPr>
                      <w:sz w:val="16"/>
                    </w:rPr>
                    <w:t>519-326-2373 Ext. 4142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shape id="_x0000_s1073" type="#_x0000_t202" style="position:absolute;margin-left:46.3pt;margin-top:350.65pt;width:148.8pt;height:245.95pt;z-index:251668480;mso-position-horizontal-relative:page;mso-position-vertical-relative:page" filled="f" stroked="f">
            <v:textbox>
              <w:txbxContent>
                <w:p w:rsidR="006A6AAE" w:rsidRDefault="006A6AAE" w:rsidP="006A6AAE">
                  <w:pPr>
                    <w:rPr>
                      <w:sz w:val="18"/>
                      <w:szCs w:val="18"/>
                    </w:rPr>
                  </w:pPr>
                  <w:r w:rsidRPr="00551994">
                    <w:rPr>
                      <w:sz w:val="18"/>
                      <w:szCs w:val="18"/>
                    </w:rPr>
                    <w:t>Learning Objectives:</w:t>
                  </w:r>
                </w:p>
                <w:p w:rsidR="00551994" w:rsidRPr="00551994" w:rsidRDefault="00551994" w:rsidP="006A6AAE">
                  <w:pPr>
                    <w:rPr>
                      <w:sz w:val="18"/>
                      <w:szCs w:val="18"/>
                    </w:rPr>
                  </w:pP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Provide an overview of the research evidence and SOGC guidelines.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Describe the physiological basis for fetal health surveillance.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 xml:space="preserve">Discuss acid-base balance and development of hypoxic </w:t>
                  </w:r>
                  <w:proofErr w:type="spellStart"/>
                  <w:r w:rsidRPr="00551994">
                    <w:rPr>
                      <w:sz w:val="12"/>
                      <w:szCs w:val="14"/>
                    </w:rPr>
                    <w:t>acidemia</w:t>
                  </w:r>
                  <w:proofErr w:type="spellEnd"/>
                  <w:r w:rsidRPr="00551994">
                    <w:rPr>
                      <w:sz w:val="12"/>
                      <w:szCs w:val="14"/>
                    </w:rPr>
                    <w:t>.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 xml:space="preserve">Describe the assessment of normal and abnormal uterine activity patterns and the effect on FHR and </w:t>
                  </w:r>
                  <w:proofErr w:type="spellStart"/>
                  <w:r w:rsidRPr="00551994">
                    <w:rPr>
                      <w:sz w:val="12"/>
                      <w:szCs w:val="14"/>
                    </w:rPr>
                    <w:t>labour</w:t>
                  </w:r>
                  <w:proofErr w:type="spellEnd"/>
                  <w:r w:rsidRPr="00551994">
                    <w:rPr>
                      <w:sz w:val="12"/>
                      <w:szCs w:val="14"/>
                    </w:rPr>
                    <w:t xml:space="preserve"> progress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Discuss the benefits, limitations, clinical situations and the procedure for using intermittent FHR auscultation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 xml:space="preserve">Outline normal, atypical and abnormal parameters of the Non </w:t>
                  </w:r>
                  <w:proofErr w:type="spellStart"/>
                  <w:r w:rsidRPr="00551994">
                    <w:rPr>
                      <w:sz w:val="12"/>
                      <w:szCs w:val="14"/>
                    </w:rPr>
                    <w:t>StressTest</w:t>
                  </w:r>
                  <w:proofErr w:type="spellEnd"/>
                  <w:r w:rsidRPr="00551994">
                    <w:rPr>
                      <w:sz w:val="12"/>
                      <w:szCs w:val="14"/>
                    </w:rPr>
                    <w:t xml:space="preserve"> and classify accordingly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Describe the appropriate clinical application of continuous electronic fetal monitoring (EFM)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identify the definitions, characteristics, etiology, physiology/pathophysiology and classification of:</w:t>
                  </w:r>
                </w:p>
                <w:p w:rsidR="006A6AAE" w:rsidRPr="00551994" w:rsidRDefault="006A6AAE" w:rsidP="00551994">
                  <w:pPr>
                    <w:numPr>
                      <w:ilvl w:val="1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Baseline rate and variability</w:t>
                  </w:r>
                </w:p>
                <w:p w:rsidR="006A6AAE" w:rsidRPr="00551994" w:rsidRDefault="006A6AAE" w:rsidP="00551994">
                  <w:pPr>
                    <w:numPr>
                      <w:ilvl w:val="1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Accelerations, early/late/variable/prolonged decelerations</w:t>
                  </w:r>
                </w:p>
                <w:p w:rsidR="006A6AAE" w:rsidRPr="00551994" w:rsidRDefault="006A6AAE" w:rsidP="00551994">
                  <w:pPr>
                    <w:numPr>
                      <w:ilvl w:val="1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Sinusoidal patterns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Practice EFM interpretation.</w:t>
                  </w:r>
                </w:p>
                <w:p w:rsidR="006A6AAE" w:rsidRPr="00551994" w:rsidRDefault="006A6AAE" w:rsidP="00551994">
                  <w:pPr>
                    <w:numPr>
                      <w:ilvl w:val="0"/>
                      <w:numId w:val="1"/>
                    </w:numPr>
                    <w:rPr>
                      <w:sz w:val="12"/>
                      <w:szCs w:val="14"/>
                    </w:rPr>
                  </w:pPr>
                  <w:r w:rsidRPr="00551994">
                    <w:rPr>
                      <w:sz w:val="12"/>
                      <w:szCs w:val="14"/>
                    </w:rPr>
                    <w:t>Describe appropriate documentation of IA and EFM parameters and findings.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margin-left:40.3pt;margin-top:596.6pt;width:82.2pt;height:50.2pt;z-index:251666432;mso-position-horizontal-relative:page;mso-position-vertical-relative:page;mso-width-relative:page;mso-height-relative:page">
            <v:imagedata r:id="rId8" o:title="LDMH-Final-Logo-Tagline-PNG"/>
            <w10:wrap type="square" anchorx="page" anchory="page"/>
          </v:shape>
        </w:pict>
      </w:r>
      <w:r>
        <w:rPr>
          <w:noProof/>
        </w:rPr>
        <w:pict>
          <v:shape id="_x0000_s1069" type="#_x0000_t202" style="position:absolute;margin-left:49.65pt;margin-top:233.5pt;width:129.75pt;height:133.7pt;z-index:251664384;mso-wrap-distance-left:9pt;mso-wrap-distance-top:0;mso-wrap-distance-right:9pt;mso-wrap-distance-bottom:0;mso-position-horizontal-relative:page;mso-position-vertical-relative:page;v-text-anchor:top" filled="f" stroked="f">
            <v:textbox style="mso-fit-shape-to-text:t">
              <w:txbxContent>
                <w:p w:rsidR="0016410B" w:rsidRPr="006A6AAE" w:rsidRDefault="0016410B">
                  <w:pPr>
                    <w:rPr>
                      <w:sz w:val="18"/>
                      <w:szCs w:val="18"/>
                    </w:rPr>
                  </w:pPr>
                  <w:r w:rsidRPr="006A6AAE">
                    <w:rPr>
                      <w:sz w:val="18"/>
                      <w:szCs w:val="18"/>
                    </w:rPr>
                    <w:t>Date: Oct. 27, 2015</w:t>
                  </w:r>
                </w:p>
                <w:p w:rsidR="0016410B" w:rsidRPr="006A6AAE" w:rsidRDefault="0016410B">
                  <w:pPr>
                    <w:rPr>
                      <w:sz w:val="18"/>
                      <w:szCs w:val="18"/>
                    </w:rPr>
                  </w:pPr>
                  <w:r w:rsidRPr="006A6AAE">
                    <w:rPr>
                      <w:sz w:val="18"/>
                      <w:szCs w:val="18"/>
                    </w:rPr>
                    <w:t xml:space="preserve">Time: 0930-1600 </w:t>
                  </w:r>
                  <w:proofErr w:type="spellStart"/>
                  <w:r w:rsidRPr="006A6AAE">
                    <w:rPr>
                      <w:sz w:val="18"/>
                      <w:szCs w:val="18"/>
                    </w:rPr>
                    <w:t>hrs</w:t>
                  </w:r>
                  <w:proofErr w:type="spellEnd"/>
                </w:p>
                <w:p w:rsidR="0016410B" w:rsidRPr="006A6AAE" w:rsidRDefault="0016410B">
                  <w:pPr>
                    <w:rPr>
                      <w:sz w:val="18"/>
                      <w:szCs w:val="18"/>
                    </w:rPr>
                  </w:pPr>
                  <w:r w:rsidRPr="006A6AAE">
                    <w:rPr>
                      <w:sz w:val="18"/>
                      <w:szCs w:val="18"/>
                    </w:rPr>
                    <w:t>Location: LDMH</w:t>
                  </w:r>
                </w:p>
                <w:p w:rsidR="0016410B" w:rsidRPr="006A6AAE" w:rsidRDefault="0016410B">
                  <w:pPr>
                    <w:rPr>
                      <w:sz w:val="18"/>
                      <w:szCs w:val="18"/>
                    </w:rPr>
                  </w:pPr>
                  <w:r w:rsidRPr="006A6AAE">
                    <w:rPr>
                      <w:sz w:val="18"/>
                      <w:szCs w:val="18"/>
                    </w:rPr>
                    <w:t>Roo</w:t>
                  </w:r>
                  <w:r w:rsidR="00344E65">
                    <w:rPr>
                      <w:sz w:val="18"/>
                      <w:szCs w:val="18"/>
                    </w:rPr>
                    <w:t>m: Boardroom, 1</w:t>
                  </w:r>
                  <w:r w:rsidR="00344E65" w:rsidRPr="00344E65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="00344E65">
                    <w:rPr>
                      <w:sz w:val="18"/>
                      <w:szCs w:val="18"/>
                    </w:rPr>
                    <w:t xml:space="preserve"> floor</w:t>
                  </w:r>
                </w:p>
                <w:p w:rsidR="0016410B" w:rsidRPr="006A6AAE" w:rsidRDefault="0016410B">
                  <w:pPr>
                    <w:rPr>
                      <w:sz w:val="18"/>
                      <w:szCs w:val="18"/>
                    </w:rPr>
                  </w:pPr>
                </w:p>
                <w:p w:rsidR="0016410B" w:rsidRPr="006A6AAE" w:rsidRDefault="0016410B">
                  <w:pPr>
                    <w:rPr>
                      <w:sz w:val="18"/>
                      <w:szCs w:val="18"/>
                    </w:rPr>
                  </w:pPr>
                  <w:r w:rsidRPr="006A6AAE">
                    <w:rPr>
                      <w:sz w:val="18"/>
                      <w:szCs w:val="18"/>
                    </w:rPr>
                    <w:t>Deadline for Registration:</w:t>
                  </w:r>
                </w:p>
                <w:p w:rsidR="0016410B" w:rsidRPr="006A6AAE" w:rsidRDefault="00AF2A2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Sunday, September 27, 2015</w:t>
                  </w:r>
                  <w:bookmarkStart w:id="0" w:name="_GoBack"/>
                  <w:bookmarkEnd w:id="0"/>
                </w:p>
                <w:p w:rsidR="0016410B" w:rsidRPr="006A6AAE" w:rsidRDefault="0016410B">
                  <w:pPr>
                    <w:rPr>
                      <w:sz w:val="18"/>
                      <w:szCs w:val="18"/>
                    </w:rPr>
                  </w:pPr>
                </w:p>
                <w:p w:rsidR="00777A1D" w:rsidRPr="006A6AAE" w:rsidRDefault="00777A1D">
                  <w:pPr>
                    <w:rPr>
                      <w:sz w:val="18"/>
                      <w:szCs w:val="18"/>
                    </w:rPr>
                  </w:pPr>
                  <w:r w:rsidRPr="006A6AAE">
                    <w:rPr>
                      <w:sz w:val="18"/>
                      <w:szCs w:val="18"/>
                    </w:rPr>
                    <w:t xml:space="preserve">Fee: </w:t>
                  </w:r>
                  <w:r w:rsidR="00344E65">
                    <w:rPr>
                      <w:sz w:val="18"/>
                      <w:szCs w:val="18"/>
                    </w:rPr>
                    <w:t>$25 will be</w:t>
                  </w:r>
                  <w:r w:rsidRPr="006A6AAE">
                    <w:rPr>
                      <w:sz w:val="18"/>
                      <w:szCs w:val="18"/>
                    </w:rPr>
                    <w:t xml:space="preserve"> charged </w:t>
                  </w:r>
                  <w:r w:rsidR="00344E65">
                    <w:rPr>
                      <w:sz w:val="18"/>
                      <w:szCs w:val="18"/>
                    </w:rPr>
                    <w:br/>
                  </w:r>
                  <w:r w:rsidRPr="006A6AAE">
                    <w:rPr>
                      <w:sz w:val="18"/>
                      <w:szCs w:val="18"/>
                    </w:rPr>
                    <w:t>for non-LDMH staff.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41.4pt;margin-top:310.8pt;width:360.25pt;height:598.75pt;z-index:25165414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42;mso-column-margin:12.9pt;mso-fit-shape-to-text:t" inset="2.85pt,2.85pt,2.85pt,2.85pt">
              <w:txbxContent>
                <w:p w:rsidR="001669AB" w:rsidRDefault="006A6AAE" w:rsidP="0007064E">
                  <w:pPr>
                    <w:pStyle w:val="bodytext"/>
                    <w:jc w:val="center"/>
                  </w:pPr>
                  <w:r>
                    <w:t>AGENDA</w:t>
                  </w:r>
                </w:p>
                <w:p w:rsidR="00551994" w:rsidRPr="00551994" w:rsidRDefault="00551994" w:rsidP="0007064E">
                  <w:pPr>
                    <w:pStyle w:val="bodytext"/>
                    <w:jc w:val="center"/>
                    <w:rPr>
                      <w:sz w:val="20"/>
                    </w:rPr>
                  </w:pPr>
                  <w:r w:rsidRPr="00551994">
                    <w:rPr>
                      <w:sz w:val="20"/>
                    </w:rPr>
                    <w:t>October 27, 2015</w:t>
                  </w:r>
                </w:p>
                <w:p w:rsidR="00551994" w:rsidRPr="00551994" w:rsidRDefault="00551994" w:rsidP="0007064E">
                  <w:pPr>
                    <w:pStyle w:val="bodytext"/>
                    <w:jc w:val="center"/>
                    <w:rPr>
                      <w:sz w:val="20"/>
                    </w:rPr>
                  </w:pPr>
                  <w:r w:rsidRPr="00551994">
                    <w:rPr>
                      <w:sz w:val="20"/>
                    </w:rPr>
                    <w:t>0930-1600 hours</w:t>
                  </w:r>
                </w:p>
                <w:p w:rsidR="0007064E" w:rsidRDefault="0007064E" w:rsidP="0036528D">
                  <w:pPr>
                    <w:pStyle w:val="bodytext"/>
                  </w:pP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  <w:r>
                    <w:rPr>
                      <w:rFonts w:ascii="Candara" w:hAnsi="Candara" w:cs="Arial"/>
                      <w:sz w:val="28"/>
                      <w:szCs w:val="28"/>
                    </w:rPr>
                    <w:t>0930 - 11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>00 hr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>.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 xml:space="preserve"> - 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ab/>
                    <w:t>Fetal Health Surveillance Review</w:t>
                  </w: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  <w:r>
                    <w:rPr>
                      <w:rFonts w:ascii="Candara" w:hAnsi="Candara" w:cs="Arial"/>
                      <w:sz w:val="28"/>
                      <w:szCs w:val="28"/>
                    </w:rPr>
                    <w:t>1100 - 1115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 xml:space="preserve"> hr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>.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 xml:space="preserve"> -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ab/>
                    <w:t>Break</w:t>
                  </w: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  <w:r>
                    <w:rPr>
                      <w:rFonts w:ascii="Candara" w:hAnsi="Candara" w:cs="Arial"/>
                      <w:sz w:val="28"/>
                      <w:szCs w:val="28"/>
                    </w:rPr>
                    <w:t>1115 - 123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>0 hr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>.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 xml:space="preserve"> - 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ab/>
                    <w:t>Fetal Health Surveillance Review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 xml:space="preserve"> </w:t>
                  </w: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  <w:r>
                    <w:rPr>
                      <w:rFonts w:ascii="Candara" w:hAnsi="Candara" w:cs="Arial"/>
                      <w:sz w:val="28"/>
                      <w:szCs w:val="28"/>
                    </w:rPr>
                    <w:t xml:space="preserve">1230 – 1300 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ab/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ab/>
                    <w:t>LUNCH</w:t>
                  </w: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  <w:r>
                    <w:rPr>
                      <w:rFonts w:ascii="Candara" w:hAnsi="Candara" w:cs="Arial"/>
                      <w:sz w:val="28"/>
                      <w:szCs w:val="28"/>
                    </w:rPr>
                    <w:t>1300 – 1400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ab/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>FHS Strip Interpretations (Group Activity)</w:t>
                  </w: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>1400 - 1415 hr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>.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 xml:space="preserve"> - 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ab/>
                    <w:t>Refreshment Break</w:t>
                  </w: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>1415 - 1545 hr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>.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 xml:space="preserve"> -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ab/>
                    <w:t>FHS Strip Interpretations (Group Activity)</w:t>
                  </w:r>
                </w:p>
                <w:p w:rsidR="006A6AAE" w:rsidRPr="00702E60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>1545 - 1600 hr</w:t>
                  </w:r>
                  <w:r>
                    <w:rPr>
                      <w:rFonts w:ascii="Candara" w:hAnsi="Candara" w:cs="Arial"/>
                      <w:sz w:val="28"/>
                      <w:szCs w:val="28"/>
                    </w:rPr>
                    <w:t>.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 xml:space="preserve"> - </w:t>
                  </w:r>
                  <w:r w:rsidRPr="00702E60">
                    <w:rPr>
                      <w:rFonts w:ascii="Candara" w:hAnsi="Candara" w:cs="Arial"/>
                      <w:sz w:val="28"/>
                      <w:szCs w:val="28"/>
                    </w:rPr>
                    <w:tab/>
                    <w:t>Summary and Take Home Messages</w:t>
                  </w:r>
                </w:p>
                <w:p w:rsidR="0007064E" w:rsidRPr="006A6AAE" w:rsidRDefault="0007064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07064E" w:rsidRPr="006A6AAE" w:rsidRDefault="0007064E" w:rsidP="006A6AAE">
                  <w:pPr>
                    <w:autoSpaceDE w:val="0"/>
                    <w:autoSpaceDN w:val="0"/>
                    <w:adjustRightInd w:val="0"/>
                    <w:ind w:left="2160" w:hanging="2160"/>
                    <w:rPr>
                      <w:rFonts w:ascii="Candara" w:hAnsi="Candara" w:cs="Arial"/>
                      <w:sz w:val="28"/>
                      <w:szCs w:val="28"/>
                    </w:rPr>
                  </w:pPr>
                </w:p>
                <w:p w:rsidR="0007064E" w:rsidRDefault="0007064E" w:rsidP="0036528D">
                  <w:pPr>
                    <w:pStyle w:val="bodytext"/>
                  </w:pP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Candara" w:hAnsi="Candara" w:cs="Arial"/>
                      <w:b/>
                    </w:rPr>
                  </w:pPr>
                  <w:r>
                    <w:rPr>
                      <w:rFonts w:ascii="Candara" w:hAnsi="Candara" w:cs="Arial"/>
                      <w:b/>
                    </w:rPr>
                    <w:t>**</w:t>
                  </w:r>
                  <w:r w:rsidRPr="00D7282F">
                    <w:rPr>
                      <w:rFonts w:ascii="Candara" w:hAnsi="Candara" w:cs="Arial"/>
                      <w:b/>
                    </w:rPr>
                    <w:t>Participants should have completed the Fundamental</w:t>
                  </w:r>
                  <w:r>
                    <w:rPr>
                      <w:rFonts w:ascii="Candara" w:hAnsi="Candara" w:cs="Arial"/>
                      <w:b/>
                    </w:rPr>
                    <w:t>s</w:t>
                  </w:r>
                  <w:r w:rsidRPr="00D7282F">
                    <w:rPr>
                      <w:rFonts w:ascii="Candara" w:hAnsi="Candara" w:cs="Arial"/>
                      <w:b/>
                    </w:rPr>
                    <w:t xml:space="preserve"> of Fetal Health Surveillance online Learning Modules prior to attending</w:t>
                  </w:r>
                  <w:r>
                    <w:rPr>
                      <w:rFonts w:ascii="Candara" w:hAnsi="Candara" w:cs="Arial"/>
                      <w:b/>
                    </w:rPr>
                    <w:t>.</w:t>
                  </w: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Candara" w:hAnsi="Candara" w:cs="Arial"/>
                      <w:b/>
                    </w:rPr>
                  </w:pPr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Candara" w:hAnsi="Candara" w:cs="Arial"/>
                      <w:b/>
                    </w:rPr>
                  </w:pPr>
                  <w:r>
                    <w:rPr>
                      <w:rFonts w:ascii="Candara" w:hAnsi="Candara" w:cs="Arial"/>
                      <w:b/>
                    </w:rPr>
                    <w:t xml:space="preserve">Contact Rebecca Ismail: </w:t>
                  </w:r>
                  <w:hyperlink r:id="rId9" w:history="1">
                    <w:r w:rsidRPr="002627ED">
                      <w:rPr>
                        <w:rStyle w:val="Hyperlink"/>
                        <w:rFonts w:ascii="Candara" w:hAnsi="Candara" w:cs="Arial"/>
                        <w:b/>
                      </w:rPr>
                      <w:t>Rebecca.ismail@ldmh.org</w:t>
                    </w:r>
                  </w:hyperlink>
                </w:p>
                <w:p w:rsidR="006A6AAE" w:rsidRDefault="006A6AAE" w:rsidP="006A6AAE">
                  <w:pPr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Candara" w:hAnsi="Candara" w:cs="Arial"/>
                      <w:b/>
                    </w:rPr>
                  </w:pPr>
                  <w:proofErr w:type="gramStart"/>
                  <w:r>
                    <w:rPr>
                      <w:rFonts w:ascii="Candara" w:hAnsi="Candara" w:cs="Arial"/>
                      <w:b/>
                    </w:rPr>
                    <w:t>to</w:t>
                  </w:r>
                  <w:proofErr w:type="gramEnd"/>
                  <w:r>
                    <w:rPr>
                      <w:rFonts w:ascii="Candara" w:hAnsi="Candara" w:cs="Arial"/>
                      <w:b/>
                    </w:rPr>
                    <w:t xml:space="preserve"> obtain your login information**</w:t>
                  </w:r>
                </w:p>
                <w:p w:rsidR="0007064E" w:rsidRDefault="0007064E" w:rsidP="0036528D">
                  <w:pPr>
                    <w:pStyle w:val="bodytext"/>
                  </w:pP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shape id="_x0000_s1068" type="#_x0000_t75" style="position:absolute;margin-left:395.2pt;margin-top:159.2pt;width:185.1pt;height:110.25pt;z-index:251663360;mso-position-horizontal-relative:page;mso-position-vertical-relative:page;mso-width-relative:page;mso-height-relative:page">
            <v:imagedata r:id="rId10" o:title=""/>
            <w10:wrap type="square" anchorx="page" anchory="page"/>
          </v:shape>
        </w:pict>
      </w:r>
      <w:r>
        <w:pict>
          <v:shape id="_x0000_s1052" type="#_x0000_t202" style="position:absolute;margin-left:47.5pt;margin-top:175.55pt;width:147.6pt;height:33.3pt;z-index:25165926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52;mso-column-margin:5.7pt;mso-fit-shape-to-text:t" inset="2.85pt,2.85pt,2.85pt,2.85pt">
              <w:txbxContent>
                <w:p w:rsidR="001669AB" w:rsidRPr="008A0FB1" w:rsidRDefault="0016410B" w:rsidP="008A0FB1">
                  <w:pPr>
                    <w:pStyle w:val="tagline"/>
                  </w:pPr>
                  <w:r>
                    <w:t>Presented by the Regional Perinatal Outreach Program (MNCYN)</w:t>
                  </w:r>
                </w:p>
              </w:txbxContent>
            </v:textbox>
            <w10:wrap side="left" anchorx="page" anchory="page"/>
          </v:shape>
        </w:pict>
      </w:r>
      <w:r>
        <w:pict>
          <v:rect id="_x0000_s1051" style="position:absolute;margin-left:40.3pt;margin-top:153.2pt;width:162pt;height:593.1pt;z-index:251653120;visibility:visible;mso-wrap-edited:f;mso-wrap-distance-left:2.88pt;mso-wrap-distance-top:2.88pt;mso-wrap-distance-right:2.88pt;mso-wrap-distance-bottom:2.88pt;mso-position-horizontal-relative:page;mso-position-vertical-relative:page" fillcolor="#cc9" stroked="f" strokeweight="0" insetpen="t" o:cliptowrap="t">
            <v:shadow color="#ccc"/>
            <o:lock v:ext="edit" shapetype="t"/>
            <v:textbox inset="2.88pt,2.88pt,2.88pt,2.88pt"/>
            <w10:wrap side="left" anchorx="page" anchory="page"/>
          </v:rect>
        </w:pict>
      </w:r>
      <w:r>
        <w:pict>
          <v:rect id="_x0000_s1049" style="position:absolute;margin-left:40.3pt;margin-top:92.15pt;width:540pt;height:63.4pt;z-index:251657216;visibility:visible;mso-wrap-edited:f;mso-wrap-distance-left:2.88pt;mso-wrap-distance-top:2.88pt;mso-wrap-distance-right:2.88pt;mso-wrap-distance-bottom:2.88pt;mso-position-horizontal-relative:page;mso-position-vertical-relative:page" fillcolor="#c90" stroked="f" strokeweight="0" insetpen="t" o:cliptowrap="t">
            <v:shadow color="#ccc"/>
            <o:lock v:ext="edit" shapetype="t"/>
            <v:textbox inset="2.88pt,2.88pt,2.88pt,2.88pt"/>
            <w10:wrap side="left" anchorx="page" anchory="page"/>
          </v:rect>
        </w:pict>
      </w:r>
      <w:r>
        <w:pict>
          <v:shape id="_x0000_s1047" type="#_x0000_t202" style="position:absolute;margin-left:46.3pt;margin-top:59.05pt;width:530.5pt;height:25.95pt;z-index:251656192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1669AB" w:rsidRPr="008A0FB1" w:rsidRDefault="0016410B" w:rsidP="008A0FB1">
                  <w:pPr>
                    <w:pStyle w:val="Heading2"/>
                  </w:pPr>
                  <w:proofErr w:type="spellStart"/>
                  <w:r>
                    <w:t>Leamington</w:t>
                  </w:r>
                  <w:proofErr w:type="spellEnd"/>
                  <w:r>
                    <w:t xml:space="preserve"> District Memorial Hospital invites you to a:</w:t>
                  </w:r>
                </w:p>
              </w:txbxContent>
            </v:textbox>
            <w10:wrap side="left" anchorx="page" anchory="page"/>
          </v:shape>
        </w:pict>
      </w:r>
      <w:r>
        <w:pict>
          <v:rect id="_x0000_s1044" style="position:absolute;margin-left:472pt;margin-top:685.25pt;width:108pt;height:54pt;z-index:251655168;visibility:hidden;mso-wrap-edited:f;mso-wrap-distance-left:2.88pt;mso-wrap-distance-top:2.88pt;mso-wrap-distance-right:2.88pt;mso-wrap-distance-bottom:2.88pt" filled="f" fillcolor="black" stroked="f" strokecolor="white" strokeweight="0" insetpen="t" o:cliptowrap="t">
            <v:shadow color="#ccc"/>
            <o:lock v:ext="edit" shapetype="t"/>
            <v:textbox inset="2.88pt,2.88pt,2.88pt,2.88pt"/>
          </v:rect>
        </w:pict>
      </w:r>
      <w:r>
        <w:pict>
          <v:shape id="_x0000_s1050" type="#_x0000_t202" style="position:absolute;margin-left:58.3pt;margin-top:99.35pt;width:514.8pt;height:46.2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50;mso-column-margin:5.7pt;mso-fit-shape-to-text:t" inset="2.85pt,2.85pt,2.85pt,2.85pt">
              <w:txbxContent>
                <w:p w:rsidR="001669AB" w:rsidRPr="008A0FB1" w:rsidRDefault="0016410B" w:rsidP="008A0FB1">
                  <w:pPr>
                    <w:pStyle w:val="Heading1"/>
                  </w:pPr>
                  <w:r>
                    <w:t>Fetal Health Surveillance Workshop</w:t>
                  </w:r>
                </w:p>
              </w:txbxContent>
            </v:textbox>
            <w10:wrap side="left" anchorx="page" anchory="page"/>
          </v:shape>
        </w:pict>
      </w:r>
    </w:p>
    <w:sectPr w:rsidR="003E6F76" w:rsidRPr="0036528D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9474C"/>
    <w:multiLevelType w:val="hybridMultilevel"/>
    <w:tmpl w:val="4808B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CE87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10B"/>
    <w:rsid w:val="000020FD"/>
    <w:rsid w:val="0007064E"/>
    <w:rsid w:val="00080C01"/>
    <w:rsid w:val="0016410B"/>
    <w:rsid w:val="001669AB"/>
    <w:rsid w:val="001E11B2"/>
    <w:rsid w:val="00232477"/>
    <w:rsid w:val="00273E8C"/>
    <w:rsid w:val="00344E65"/>
    <w:rsid w:val="0036528D"/>
    <w:rsid w:val="003E6F76"/>
    <w:rsid w:val="004434E0"/>
    <w:rsid w:val="00464871"/>
    <w:rsid w:val="004743F2"/>
    <w:rsid w:val="004B6556"/>
    <w:rsid w:val="00506068"/>
    <w:rsid w:val="005063B3"/>
    <w:rsid w:val="00551994"/>
    <w:rsid w:val="005529CB"/>
    <w:rsid w:val="005A688B"/>
    <w:rsid w:val="00604703"/>
    <w:rsid w:val="00616FB9"/>
    <w:rsid w:val="006A6AAE"/>
    <w:rsid w:val="00777A1D"/>
    <w:rsid w:val="008A0FB1"/>
    <w:rsid w:val="00AB7823"/>
    <w:rsid w:val="00AF2A2C"/>
    <w:rsid w:val="00C05E35"/>
    <w:rsid w:val="00E67AEF"/>
    <w:rsid w:val="00EB57A3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A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8A0FB1"/>
    <w:pPr>
      <w:outlineLvl w:val="0"/>
    </w:pPr>
    <w:rPr>
      <w:rFonts w:ascii="Garamond" w:hAnsi="Garamond"/>
      <w:color w:val="FFFFFF"/>
      <w:sz w:val="72"/>
      <w:szCs w:val="72"/>
      <w:lang w:val="en"/>
    </w:rPr>
  </w:style>
  <w:style w:type="paragraph" w:styleId="Heading2">
    <w:name w:val="heading 2"/>
    <w:basedOn w:val="Normal"/>
    <w:next w:val="Normal"/>
    <w:qFormat/>
    <w:rsid w:val="00616FB9"/>
    <w:pPr>
      <w:outlineLvl w:val="1"/>
    </w:pPr>
    <w:rPr>
      <w:rFonts w:ascii="Arial" w:hAnsi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rsid w:val="008A0FB1"/>
    <w:rPr>
      <w:rFonts w:ascii="Arial" w:hAnsi="Arial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8A0FB1"/>
    <w:rPr>
      <w:rFonts w:ascii="Arial" w:hAnsi="Arial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8A0FB1"/>
    <w:rPr>
      <w:rFonts w:ascii="Arial" w:hAnsi="Arial"/>
      <w:b/>
      <w:bCs/>
      <w:spacing w:val="20"/>
      <w:kern w:val="28"/>
      <w:sz w:val="18"/>
      <w:szCs w:val="18"/>
      <w:lang w:val="en" w:eastAsia="en-US" w:bidi="ar-SA"/>
    </w:rPr>
  </w:style>
  <w:style w:type="paragraph" w:customStyle="1" w:styleId="tagline">
    <w:name w:val="tagline"/>
    <w:basedOn w:val="Normal"/>
    <w:rsid w:val="00616FB9"/>
    <w:rPr>
      <w:rFonts w:ascii="Arial" w:hAnsi="Arial"/>
      <w:i/>
      <w:color w:val="auto"/>
      <w:sz w:val="24"/>
      <w:szCs w:val="28"/>
    </w:rPr>
  </w:style>
  <w:style w:type="paragraph" w:customStyle="1" w:styleId="bodytext">
    <w:name w:val="bodytext"/>
    <w:basedOn w:val="Normal"/>
    <w:rsid w:val="0036528D"/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nhideWhenUsed/>
    <w:rsid w:val="001641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Rebecca.ismail@ldmh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mailto:Rebecca.ismail@ldm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she\AppData\Roaming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1BAD-7F16-4439-B5AD-7A5E67A8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183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Johnston</dc:creator>
  <cp:lastModifiedBy>Sheila Johnston</cp:lastModifiedBy>
  <cp:revision>4</cp:revision>
  <dcterms:created xsi:type="dcterms:W3CDTF">2015-07-10T14:09:00Z</dcterms:created>
  <dcterms:modified xsi:type="dcterms:W3CDTF">2015-07-10T18:38:00Z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TC060873641033</vt:lpwstr>
  </property>
</Properties>
</file>